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bookmarkStart w:id="0" w:name="_Hlk532982692"/>
      <w:r>
        <w:rPr>
          <w:rFonts w:hint="eastAsia" w:ascii="黑体" w:hAnsi="黑体" w:eastAsia="黑体" w:cs="宋体"/>
          <w:b/>
          <w:kern w:val="0"/>
          <w:sz w:val="36"/>
          <w:szCs w:val="36"/>
          <w:lang w:eastAsia="zh-CN"/>
        </w:rPr>
        <w:t>芒辛乡一般公共</w:t>
      </w:r>
      <w:r>
        <w:rPr>
          <w:rFonts w:hint="eastAsia" w:ascii="黑体" w:hAnsi="黑体" w:eastAsia="黑体" w:cs="宋体"/>
          <w:b/>
          <w:kern w:val="0"/>
          <w:sz w:val="36"/>
          <w:szCs w:val="36"/>
        </w:rPr>
        <w:t>基本</w:t>
      </w:r>
      <w:r>
        <w:rPr>
          <w:rFonts w:hint="eastAsia" w:ascii="黑体" w:hAnsi="黑体" w:eastAsia="黑体" w:cs="宋体"/>
          <w:b/>
          <w:kern w:val="0"/>
          <w:sz w:val="36"/>
          <w:szCs w:val="36"/>
          <w:lang w:eastAsia="zh-CN"/>
        </w:rPr>
        <w:t>组织事务</w:t>
      </w:r>
      <w:r>
        <w:rPr>
          <w:rFonts w:hint="eastAsia" w:ascii="黑体" w:hAnsi="黑体" w:eastAsia="黑体" w:cs="宋体"/>
          <w:b/>
          <w:kern w:val="0"/>
          <w:sz w:val="36"/>
          <w:szCs w:val="36"/>
        </w:rPr>
        <w:t>支出</w:t>
      </w:r>
      <w:bookmarkEnd w:id="0"/>
      <w:r>
        <w:rPr>
          <w:rFonts w:hint="eastAsia" w:ascii="黑体" w:hAnsi="黑体" w:eastAsia="黑体" w:cs="宋体"/>
          <w:b/>
          <w:kern w:val="0"/>
          <w:sz w:val="36"/>
          <w:szCs w:val="36"/>
        </w:rPr>
        <w:t>绩效自评报告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w:t>
      </w:r>
      <w:r>
        <w:rPr>
          <w:rStyle w:val="18"/>
          <w:rFonts w:hint="eastAsia" w:ascii="黑体" w:hAnsi="黑体" w:eastAsia="黑体"/>
          <w:b w:val="0"/>
          <w:spacing w:val="-4"/>
          <w:sz w:val="32"/>
          <w:szCs w:val="32"/>
          <w:lang w:eastAsia="zh-CN"/>
        </w:rPr>
        <w:t>一般公共基本</w:t>
      </w:r>
      <w:r>
        <w:rPr>
          <w:rStyle w:val="18"/>
          <w:rFonts w:hint="eastAsia" w:ascii="黑体" w:hAnsi="黑体" w:eastAsia="黑体"/>
          <w:b w:val="0"/>
          <w:spacing w:val="-4"/>
          <w:sz w:val="32"/>
          <w:szCs w:val="32"/>
        </w:rPr>
        <w:t>支出概况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7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芒辛</w:t>
      </w:r>
      <w:r>
        <w:rPr>
          <w:rFonts w:hint="eastAsia" w:ascii="仿宋_GB2312" w:hAnsi="宋体" w:eastAsia="仿宋_GB2312"/>
          <w:sz w:val="32"/>
          <w:szCs w:val="32"/>
        </w:rPr>
        <w:t>乡位于位于东部，距县城3.2公里，地势呈西南高，东北低。南北长约９公里，东西宽约７公里。东部以克柏克其亚沟与萨罕乡分界，东北与色提力接壤，西部与城关乡为邻，南临荒漠与苏盖提乡，乌恰乡相邻。</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w:t>
      </w:r>
      <w:r>
        <w:rPr>
          <w:rStyle w:val="18"/>
          <w:rFonts w:hint="eastAsia" w:ascii="楷体" w:hAnsi="楷体" w:eastAsia="楷体"/>
          <w:spacing w:val="-4"/>
          <w:sz w:val="32"/>
          <w:szCs w:val="32"/>
          <w:lang w:eastAsia="zh-CN"/>
        </w:rPr>
        <w:t>一般公共服务</w:t>
      </w:r>
      <w:r>
        <w:rPr>
          <w:rStyle w:val="18"/>
          <w:rFonts w:hint="eastAsia" w:ascii="楷体" w:hAnsi="楷体" w:eastAsia="楷体"/>
          <w:spacing w:val="-4"/>
          <w:sz w:val="32"/>
          <w:szCs w:val="32"/>
        </w:rPr>
        <w:t>支出预算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Fonts w:hint="eastAsia" w:ascii="仿宋" w:hAnsi="仿宋" w:eastAsia="仿宋"/>
          <w:b/>
          <w:bCs/>
          <w:spacing w:val="-4"/>
          <w:sz w:val="32"/>
          <w:szCs w:val="32"/>
          <w:lang w:eastAsia="zh-CN"/>
        </w:rPr>
        <w:t>一般</w:t>
      </w:r>
      <w:r>
        <w:rPr>
          <w:rStyle w:val="18"/>
          <w:rFonts w:hint="eastAsia" w:ascii="楷体" w:hAnsi="楷体" w:eastAsia="楷体"/>
          <w:spacing w:val="-4"/>
          <w:sz w:val="32"/>
          <w:szCs w:val="32"/>
          <w:lang w:eastAsia="zh-CN"/>
        </w:rPr>
        <w:t>公共服务</w:t>
      </w:r>
      <w:r>
        <w:rPr>
          <w:rStyle w:val="18"/>
          <w:rFonts w:hint="eastAsia" w:ascii="楷体" w:hAnsi="楷体" w:eastAsia="楷体"/>
          <w:spacing w:val="-4"/>
          <w:sz w:val="32"/>
          <w:szCs w:val="32"/>
        </w:rPr>
        <w:t>支出预期目标及阶段性目标</w:t>
      </w:r>
    </w:p>
    <w:p>
      <w:pPr>
        <w:shd w:val="clear" w:color="auto" w:fill="FFFFFF"/>
        <w:spacing w:line="580" w:lineRule="atLeast"/>
        <w:ind w:firstLine="643"/>
        <w:rPr>
          <w:rFonts w:ascii="仿宋" w:hAnsi="仿宋" w:eastAsia="仿宋" w:cs="宋体"/>
          <w:color w:val="666666"/>
          <w:kern w:val="0"/>
          <w:szCs w:val="21"/>
          <w:lang w:bidi="ug-CN"/>
        </w:rPr>
      </w:pPr>
      <w:r>
        <w:rPr>
          <w:rFonts w:hint="eastAsia" w:ascii="仿宋" w:hAnsi="仿宋" w:eastAsia="仿宋" w:cs="宋体"/>
          <w:color w:val="222222"/>
          <w:kern w:val="0"/>
          <w:sz w:val="32"/>
          <w:szCs w:val="32"/>
          <w:lang w:bidi="ug-CN"/>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制定并组织实施村镇建设规划，部署重点工程建设，地方道路建设及公共设施，水利设施的管理，负责土地、林木、水等自然资源和生态</w:t>
      </w:r>
      <w:bookmarkStart w:id="7" w:name="_GoBack"/>
      <w:bookmarkEnd w:id="7"/>
      <w:r>
        <w:rPr>
          <w:rFonts w:hint="eastAsia" w:ascii="仿宋" w:hAnsi="仿宋" w:eastAsia="仿宋" w:cs="宋体"/>
          <w:color w:val="222222"/>
          <w:kern w:val="0"/>
          <w:sz w:val="32"/>
          <w:szCs w:val="32"/>
          <w:lang w:bidi="ug-CN"/>
        </w:rPr>
        <w:t>环境的保护，做好护林防火工作。负责本行政区域内的民政、计划生育、文化教育、卫生、体育等社会公益事业的综合性工作，维护一切经济单位和个人的正当经济权益，取缔非法经济活动，调解和处理民事纠纷，打击刑事犯罪维护社会</w:t>
      </w:r>
      <w:r>
        <w:rPr>
          <w:rFonts w:hint="eastAsia" w:ascii="仿宋" w:hAnsi="仿宋" w:eastAsia="仿宋" w:cs="宋体"/>
          <w:color w:val="222222"/>
          <w:kern w:val="0"/>
          <w:sz w:val="32"/>
          <w:szCs w:val="32"/>
          <w:lang w:eastAsia="zh-CN" w:bidi="ug-CN"/>
        </w:rPr>
        <w:t>稳步</w:t>
      </w:r>
      <w:r>
        <w:rPr>
          <w:rFonts w:hint="eastAsia" w:ascii="仿宋" w:hAnsi="仿宋" w:eastAsia="仿宋" w:cs="宋体"/>
          <w:color w:val="222222"/>
          <w:kern w:val="0"/>
          <w:sz w:val="32"/>
          <w:szCs w:val="32"/>
          <w:lang w:bidi="ug-CN"/>
        </w:rPr>
        <w:t>。按计划组织本级财政收入和地方税的征收，完成国家财政计划，不断培植税源，管好财政资金，增强财政实力。抓好精神文明建设，丰富群众文化生活，提倡移风易俗，反对封建迷信，破除陈规陋习，树立社会主义新风尚。完成上级政府交办的其它事项。</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w:t>
      </w:r>
      <w:bookmarkStart w:id="1" w:name="_Hlk532984683"/>
      <w:r>
        <w:rPr>
          <w:rFonts w:hint="eastAsia" w:ascii="仿宋" w:hAnsi="仿宋" w:eastAsia="仿宋"/>
          <w:b/>
          <w:bCs/>
          <w:spacing w:val="-4"/>
          <w:sz w:val="32"/>
          <w:szCs w:val="32"/>
          <w:lang w:eastAsia="zh-CN"/>
        </w:rPr>
        <w:t>一般</w:t>
      </w:r>
      <w:r>
        <w:rPr>
          <w:rStyle w:val="18"/>
          <w:rFonts w:hint="eastAsia" w:ascii="楷体" w:hAnsi="楷体" w:eastAsia="楷体"/>
          <w:spacing w:val="-4"/>
          <w:sz w:val="32"/>
          <w:szCs w:val="32"/>
          <w:lang w:eastAsia="zh-CN"/>
        </w:rPr>
        <w:t>公共服务</w:t>
      </w:r>
      <w:r>
        <w:rPr>
          <w:rStyle w:val="18"/>
          <w:rFonts w:hint="eastAsia" w:ascii="楷体" w:hAnsi="楷体" w:eastAsia="楷体"/>
          <w:spacing w:val="-4"/>
          <w:sz w:val="32"/>
          <w:szCs w:val="32"/>
        </w:rPr>
        <w:t>支出</w:t>
      </w:r>
      <w:bookmarkEnd w:id="1"/>
      <w:r>
        <w:rPr>
          <w:rStyle w:val="18"/>
          <w:rFonts w:hint="eastAsia" w:ascii="楷体" w:hAnsi="楷体" w:eastAsia="楷体"/>
          <w:spacing w:val="-4"/>
          <w:sz w:val="32"/>
          <w:szCs w:val="32"/>
        </w:rPr>
        <w:t>性质</w:t>
      </w:r>
    </w:p>
    <w:p>
      <w:pPr>
        <w:adjustRightInd w:val="0"/>
        <w:snapToGrid w:val="0"/>
        <w:spacing w:line="560" w:lineRule="exact"/>
        <w:ind w:firstLine="624" w:firstLineChars="200"/>
        <w:rPr>
          <w:rFonts w:ascii="仿宋" w:hAnsi="仿宋" w:eastAsia="仿宋"/>
          <w:bCs/>
          <w:spacing w:val="-4"/>
          <w:sz w:val="32"/>
          <w:szCs w:val="32"/>
        </w:rPr>
      </w:pPr>
      <w:bookmarkStart w:id="2" w:name="_Hlk532984691"/>
      <w:r>
        <w:rPr>
          <w:rStyle w:val="18"/>
          <w:rFonts w:hint="eastAsia" w:ascii="仿宋" w:hAnsi="仿宋" w:eastAsia="仿宋" w:cs="仿宋"/>
          <w:b w:val="0"/>
          <w:bCs w:val="0"/>
          <w:spacing w:val="-4"/>
          <w:sz w:val="32"/>
          <w:szCs w:val="32"/>
          <w:lang w:eastAsia="zh-CN"/>
        </w:rPr>
        <w:t>一般公共服务</w:t>
      </w:r>
      <w:r>
        <w:rPr>
          <w:rStyle w:val="18"/>
          <w:rFonts w:hint="eastAsia" w:ascii="仿宋" w:hAnsi="仿宋" w:eastAsia="仿宋" w:cs="仿宋"/>
          <w:b w:val="0"/>
          <w:bCs w:val="0"/>
          <w:spacing w:val="-4"/>
          <w:sz w:val="32"/>
          <w:szCs w:val="32"/>
        </w:rPr>
        <w:t>支出</w:t>
      </w:r>
      <w:bookmarkEnd w:id="2"/>
      <w:r>
        <w:rPr>
          <w:rFonts w:hint="eastAsia" w:ascii="仿宋" w:hAnsi="仿宋" w:eastAsia="仿宋"/>
          <w:bCs/>
          <w:spacing w:val="-4"/>
          <w:sz w:val="32"/>
          <w:szCs w:val="32"/>
        </w:rPr>
        <w:t>性质为政府机关单位基本支出，包括人员经费和日常公用经费。</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w:t>
      </w:r>
      <w:r>
        <w:rPr>
          <w:rStyle w:val="18"/>
          <w:rFonts w:hint="eastAsia" w:ascii="楷体" w:hAnsi="楷体" w:eastAsia="楷体"/>
          <w:spacing w:val="-4"/>
          <w:sz w:val="32"/>
          <w:szCs w:val="32"/>
          <w:lang w:eastAsia="zh-CN"/>
        </w:rPr>
        <w:t>其他公共服务</w:t>
      </w:r>
      <w:r>
        <w:rPr>
          <w:rStyle w:val="18"/>
          <w:rFonts w:hint="eastAsia" w:ascii="楷体" w:hAnsi="楷体" w:eastAsia="楷体"/>
          <w:spacing w:val="-4"/>
          <w:sz w:val="32"/>
          <w:szCs w:val="32"/>
        </w:rPr>
        <w:t>支出</w:t>
      </w:r>
      <w:r>
        <w:rPr>
          <w:rFonts w:hint="eastAsia" w:ascii="仿宋" w:hAnsi="仿宋" w:eastAsia="仿宋"/>
          <w:b/>
          <w:bCs/>
          <w:spacing w:val="-4"/>
          <w:sz w:val="32"/>
          <w:szCs w:val="32"/>
        </w:rPr>
        <w:t>主要用途、范围以及主要内容</w:t>
      </w:r>
    </w:p>
    <w:p>
      <w:pPr>
        <w:adjustRightInd w:val="0"/>
        <w:snapToGrid w:val="0"/>
        <w:spacing w:line="560" w:lineRule="exact"/>
        <w:ind w:firstLine="624" w:firstLineChars="200"/>
        <w:rPr>
          <w:rFonts w:ascii="仿宋" w:hAnsi="仿宋" w:eastAsia="仿宋"/>
          <w:bCs/>
          <w:spacing w:val="-4"/>
          <w:sz w:val="32"/>
          <w:szCs w:val="32"/>
        </w:rPr>
      </w:pPr>
      <w:r>
        <w:rPr>
          <w:rStyle w:val="18"/>
          <w:rFonts w:hint="eastAsia" w:ascii="仿宋" w:hAnsi="仿宋" w:eastAsia="仿宋" w:cs="仿宋"/>
          <w:b w:val="0"/>
          <w:bCs w:val="0"/>
          <w:spacing w:val="-4"/>
          <w:sz w:val="32"/>
          <w:szCs w:val="32"/>
          <w:lang w:eastAsia="zh-CN"/>
        </w:rPr>
        <w:t>其他公共服务</w:t>
      </w:r>
      <w:r>
        <w:rPr>
          <w:rStyle w:val="18"/>
          <w:rFonts w:hint="eastAsia" w:ascii="仿宋" w:hAnsi="仿宋" w:eastAsia="仿宋" w:cs="仿宋"/>
          <w:b w:val="0"/>
          <w:bCs w:val="0"/>
          <w:spacing w:val="-4"/>
          <w:sz w:val="32"/>
          <w:szCs w:val="32"/>
        </w:rPr>
        <w:t>支出</w:t>
      </w:r>
      <w:r>
        <w:rPr>
          <w:rFonts w:hint="eastAsia" w:ascii="仿宋" w:hAnsi="仿宋" w:eastAsia="仿宋"/>
          <w:bCs/>
          <w:spacing w:val="-4"/>
          <w:sz w:val="32"/>
          <w:szCs w:val="32"/>
        </w:rPr>
        <w:t>性质为政府机关单位基本支出，包括人员工资福利支出、商品和服务支出、对个人和家庭的补助、债务利息及费用支出、资本性支出（基本建设）、资本性支出、其他支出。</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bookmarkStart w:id="3" w:name="_Hlk532982860"/>
      <w:r>
        <w:rPr>
          <w:rStyle w:val="18"/>
          <w:rFonts w:hint="eastAsia" w:ascii="黑体" w:hAnsi="黑体" w:eastAsia="黑体"/>
          <w:b w:val="0"/>
          <w:spacing w:val="-4"/>
          <w:sz w:val="32"/>
          <w:szCs w:val="32"/>
          <w:lang w:eastAsia="zh-CN"/>
        </w:rPr>
        <w:t>一般</w:t>
      </w:r>
      <w:r>
        <w:rPr>
          <w:rStyle w:val="18"/>
          <w:rFonts w:hint="eastAsia" w:ascii="黑体" w:hAnsi="黑体" w:eastAsia="黑体" w:cs="黑体"/>
          <w:b w:val="0"/>
          <w:bCs w:val="0"/>
          <w:spacing w:val="-4"/>
          <w:sz w:val="32"/>
          <w:szCs w:val="32"/>
          <w:lang w:eastAsia="zh-CN"/>
        </w:rPr>
        <w:t>公共服务</w:t>
      </w:r>
      <w:r>
        <w:rPr>
          <w:rStyle w:val="18"/>
          <w:rFonts w:hint="eastAsia" w:ascii="黑体" w:hAnsi="黑体" w:eastAsia="黑体" w:cs="黑体"/>
          <w:b w:val="0"/>
          <w:bCs w:val="0"/>
          <w:spacing w:val="-4"/>
          <w:sz w:val="32"/>
          <w:szCs w:val="32"/>
        </w:rPr>
        <w:t>支出</w:t>
      </w:r>
      <w:bookmarkEnd w:id="3"/>
      <w:r>
        <w:rPr>
          <w:rStyle w:val="18"/>
          <w:rFonts w:hint="eastAsia" w:ascii="黑体" w:hAnsi="黑体" w:eastAsia="黑体"/>
          <w:b w:val="0"/>
          <w:spacing w:val="-4"/>
          <w:sz w:val="32"/>
          <w:szCs w:val="32"/>
        </w:rPr>
        <w:t>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bookmarkStart w:id="4" w:name="_Hlk532983746"/>
      <w:r>
        <w:rPr>
          <w:rStyle w:val="18"/>
          <w:rFonts w:hint="eastAsia" w:ascii="楷体" w:hAnsi="楷体" w:eastAsia="楷体"/>
          <w:spacing w:val="-4"/>
          <w:sz w:val="32"/>
          <w:szCs w:val="32"/>
          <w:lang w:eastAsia="zh-CN"/>
        </w:rPr>
        <w:t>一般</w:t>
      </w:r>
      <w:r>
        <w:rPr>
          <w:rStyle w:val="18"/>
          <w:rFonts w:hint="eastAsia" w:ascii="楷体" w:hAnsi="楷体" w:eastAsia="楷体" w:cs="楷体"/>
          <w:b/>
          <w:bCs/>
          <w:spacing w:val="-4"/>
          <w:sz w:val="32"/>
          <w:szCs w:val="32"/>
          <w:lang w:eastAsia="zh-CN"/>
        </w:rPr>
        <w:t>公共服务</w:t>
      </w:r>
      <w:r>
        <w:rPr>
          <w:rStyle w:val="18"/>
          <w:rFonts w:hint="eastAsia" w:ascii="楷体" w:hAnsi="楷体" w:eastAsia="楷体" w:cs="楷体"/>
          <w:b/>
          <w:bCs/>
          <w:spacing w:val="-4"/>
          <w:sz w:val="32"/>
          <w:szCs w:val="32"/>
        </w:rPr>
        <w:t>支出</w:t>
      </w:r>
      <w:bookmarkEnd w:id="4"/>
      <w:r>
        <w:rPr>
          <w:rStyle w:val="18"/>
          <w:rFonts w:hint="eastAsia" w:ascii="楷体" w:hAnsi="楷体" w:eastAsia="楷体"/>
          <w:spacing w:val="-4"/>
          <w:sz w:val="32"/>
          <w:szCs w:val="32"/>
        </w:rPr>
        <w:t>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w:t>
      </w:r>
      <w:r>
        <w:rPr>
          <w:rFonts w:hint="eastAsia" w:ascii="仿宋" w:hAnsi="仿宋" w:eastAsia="仿宋"/>
          <w:bCs/>
          <w:spacing w:val="-4"/>
          <w:sz w:val="32"/>
          <w:szCs w:val="32"/>
          <w:lang w:eastAsia="zh-CN"/>
        </w:rPr>
        <w:t>芒辛</w:t>
      </w:r>
      <w:r>
        <w:rPr>
          <w:rFonts w:hint="eastAsia" w:ascii="仿宋" w:hAnsi="仿宋" w:eastAsia="仿宋"/>
          <w:bCs/>
          <w:spacing w:val="-4"/>
          <w:sz w:val="32"/>
          <w:szCs w:val="32"/>
        </w:rPr>
        <w:t>乡人民政府</w:t>
      </w:r>
      <w:r>
        <w:rPr>
          <w:rFonts w:hint="eastAsia" w:ascii="仿宋" w:hAnsi="仿宋" w:eastAsia="仿宋"/>
          <w:bCs/>
          <w:spacing w:val="-4"/>
          <w:sz w:val="32"/>
          <w:szCs w:val="32"/>
          <w:lang w:eastAsia="zh-CN"/>
        </w:rPr>
        <w:t>一般公共服务</w:t>
      </w:r>
      <w:r>
        <w:rPr>
          <w:rFonts w:hint="eastAsia" w:ascii="仿宋" w:hAnsi="仿宋" w:eastAsia="仿宋"/>
          <w:bCs/>
          <w:spacing w:val="-4"/>
          <w:sz w:val="32"/>
          <w:szCs w:val="32"/>
        </w:rPr>
        <w:t>支出预算安排总额为</w:t>
      </w:r>
      <w:r>
        <w:rPr>
          <w:rFonts w:hint="eastAsia" w:ascii="仿宋" w:hAnsi="仿宋" w:eastAsia="仿宋"/>
          <w:bCs/>
          <w:spacing w:val="-4"/>
          <w:sz w:val="32"/>
          <w:szCs w:val="32"/>
          <w:lang w:val="en-US" w:eastAsia="zh-CN"/>
        </w:rPr>
        <w:t>98.31</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val="en-US" w:eastAsia="zh-CN"/>
        </w:rPr>
        <w:t>98.31</w:t>
      </w:r>
      <w:r>
        <w:rPr>
          <w:rFonts w:hint="eastAsia" w:ascii="仿宋" w:hAnsi="仿宋" w:eastAsia="仿宋"/>
          <w:bCs/>
          <w:spacing w:val="-4"/>
          <w:sz w:val="32"/>
          <w:szCs w:val="32"/>
        </w:rPr>
        <w:t>万元，其他资金0万元，2018年实际收到部门基本支出预算资金</w:t>
      </w:r>
      <w:r>
        <w:rPr>
          <w:rFonts w:hint="eastAsia" w:ascii="仿宋" w:hAnsi="仿宋" w:eastAsia="仿宋"/>
          <w:bCs/>
          <w:spacing w:val="-4"/>
          <w:sz w:val="32"/>
          <w:szCs w:val="32"/>
          <w:lang w:val="en-US" w:eastAsia="zh-CN"/>
        </w:rPr>
        <w:t>98.31</w:t>
      </w:r>
      <w:r>
        <w:rPr>
          <w:rFonts w:hint="eastAsia" w:ascii="仿宋" w:hAnsi="仿宋" w:eastAsia="仿宋"/>
          <w:bCs/>
          <w:spacing w:val="-4"/>
          <w:sz w:val="32"/>
          <w:szCs w:val="32"/>
        </w:rPr>
        <w:t>万元。</w:t>
      </w:r>
      <w:r>
        <w:rPr>
          <w:rFonts w:ascii="仿宋" w:hAnsi="仿宋" w:eastAsia="仿宋"/>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w:t>
      </w:r>
      <w:bookmarkStart w:id="5" w:name="_Hlk532982869"/>
      <w:r>
        <w:rPr>
          <w:rStyle w:val="18"/>
          <w:rFonts w:hint="eastAsia" w:ascii="楷体" w:hAnsi="楷体" w:eastAsia="楷体"/>
          <w:spacing w:val="-4"/>
          <w:sz w:val="32"/>
          <w:szCs w:val="32"/>
          <w:lang w:eastAsia="zh-CN"/>
        </w:rPr>
        <w:t>一般公共服务</w:t>
      </w:r>
      <w:r>
        <w:rPr>
          <w:rStyle w:val="18"/>
          <w:rFonts w:hint="eastAsia" w:ascii="楷体" w:hAnsi="楷体" w:eastAsia="楷体"/>
          <w:spacing w:val="-4"/>
          <w:sz w:val="32"/>
          <w:szCs w:val="32"/>
        </w:rPr>
        <w:t>基本支出资金</w:t>
      </w:r>
      <w:bookmarkEnd w:id="5"/>
      <w:r>
        <w:rPr>
          <w:rStyle w:val="18"/>
          <w:rFonts w:hint="eastAsia" w:ascii="楷体" w:hAnsi="楷体" w:eastAsia="楷体"/>
          <w:spacing w:val="-4"/>
          <w:sz w:val="32"/>
          <w:szCs w:val="32"/>
        </w:rPr>
        <w:t>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eastAsia="zh-CN"/>
        </w:rPr>
        <w:t>一般公共服务</w:t>
      </w:r>
      <w:r>
        <w:rPr>
          <w:rFonts w:hint="eastAsia" w:ascii="仿宋" w:hAnsi="仿宋" w:eastAsia="仿宋"/>
          <w:bCs/>
          <w:spacing w:val="-4"/>
          <w:sz w:val="32"/>
          <w:szCs w:val="32"/>
        </w:rPr>
        <w:t>支出实际支付资金</w:t>
      </w:r>
      <w:r>
        <w:rPr>
          <w:rFonts w:hint="eastAsia" w:ascii="仿宋" w:hAnsi="仿宋" w:eastAsia="仿宋"/>
          <w:bCs/>
          <w:spacing w:val="-4"/>
          <w:sz w:val="32"/>
          <w:szCs w:val="32"/>
          <w:lang w:val="en-US" w:eastAsia="zh-CN"/>
        </w:rPr>
        <w:t>98.31</w:t>
      </w:r>
      <w:r>
        <w:rPr>
          <w:rFonts w:hint="eastAsia" w:ascii="仿宋" w:hAnsi="仿宋" w:eastAsia="仿宋"/>
          <w:bCs/>
          <w:spacing w:val="-4"/>
          <w:sz w:val="32"/>
          <w:szCs w:val="32"/>
        </w:rPr>
        <w:t>万元，基本支出预算执行率100</w:t>
      </w:r>
      <w:r>
        <w:rPr>
          <w:rFonts w:ascii="仿宋" w:hAnsi="仿宋" w:eastAsia="仿宋"/>
          <w:bCs/>
          <w:spacing w:val="-4"/>
          <w:sz w:val="32"/>
          <w:szCs w:val="32"/>
        </w:rPr>
        <w:t>%</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w:t>
      </w:r>
      <w:bookmarkStart w:id="6" w:name="_Hlk532983186"/>
      <w:r>
        <w:rPr>
          <w:rStyle w:val="18"/>
          <w:rFonts w:hint="eastAsia" w:ascii="楷体" w:hAnsi="楷体" w:eastAsia="楷体"/>
          <w:spacing w:val="-4"/>
          <w:sz w:val="32"/>
          <w:szCs w:val="32"/>
          <w:lang w:eastAsia="zh-CN"/>
        </w:rPr>
        <w:t>一般公共服务</w:t>
      </w:r>
      <w:r>
        <w:rPr>
          <w:rStyle w:val="18"/>
          <w:rFonts w:hint="eastAsia" w:ascii="楷体" w:hAnsi="楷体" w:eastAsia="楷体"/>
          <w:spacing w:val="-4"/>
          <w:sz w:val="32"/>
          <w:szCs w:val="32"/>
        </w:rPr>
        <w:t>基本支出</w:t>
      </w:r>
      <w:bookmarkEnd w:id="6"/>
      <w:r>
        <w:rPr>
          <w:rStyle w:val="18"/>
          <w:rFonts w:hint="eastAsia" w:ascii="楷体" w:hAnsi="楷体" w:eastAsia="楷体"/>
          <w:spacing w:val="-4"/>
          <w:sz w:val="32"/>
          <w:szCs w:val="32"/>
        </w:rPr>
        <w:t>管理情况分析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我</w:t>
      </w:r>
      <w:r>
        <w:rPr>
          <w:rFonts w:hint="eastAsia" w:ascii="仿宋" w:hAnsi="仿宋" w:eastAsia="仿宋"/>
          <w:bCs/>
          <w:spacing w:val="-4"/>
          <w:sz w:val="32"/>
          <w:szCs w:val="32"/>
        </w:rPr>
        <w:t>乡</w:t>
      </w:r>
      <w:r>
        <w:rPr>
          <w:rFonts w:hint="eastAsia" w:ascii="仿宋" w:hAnsi="仿宋" w:eastAsia="仿宋"/>
          <w:bCs/>
          <w:spacing w:val="-4"/>
          <w:sz w:val="32"/>
          <w:szCs w:val="32"/>
          <w:lang w:eastAsia="zh-CN"/>
        </w:rPr>
        <w:t>一般公共</w:t>
      </w:r>
      <w:r>
        <w:rPr>
          <w:rFonts w:ascii="仿宋" w:hAnsi="仿宋" w:eastAsia="仿宋"/>
          <w:bCs/>
          <w:spacing w:val="-4"/>
          <w:sz w:val="32"/>
          <w:szCs w:val="32"/>
        </w:rPr>
        <w:t>基本</w:t>
      </w:r>
      <w:r>
        <w:rPr>
          <w:rFonts w:hint="eastAsia" w:ascii="仿宋" w:hAnsi="仿宋" w:eastAsia="仿宋"/>
          <w:bCs/>
          <w:spacing w:val="-4"/>
          <w:sz w:val="32"/>
          <w:szCs w:val="32"/>
          <w:lang w:eastAsia="zh-CN"/>
        </w:rPr>
        <w:t>服务</w:t>
      </w:r>
      <w:r>
        <w:rPr>
          <w:rFonts w:ascii="仿宋" w:hAnsi="仿宋" w:eastAsia="仿宋"/>
          <w:bCs/>
          <w:spacing w:val="-4"/>
          <w:sz w:val="32"/>
          <w:szCs w:val="32"/>
        </w:rPr>
        <w:t>支出的范围和主要用途包括</w:t>
      </w:r>
      <w:r>
        <w:rPr>
          <w:rFonts w:hint="eastAsia" w:ascii="仿宋" w:hAnsi="仿宋" w:eastAsia="仿宋"/>
          <w:bCs/>
          <w:spacing w:val="-4"/>
          <w:sz w:val="32"/>
          <w:szCs w:val="32"/>
        </w:rPr>
        <w:t>乡</w:t>
      </w:r>
      <w:r>
        <w:rPr>
          <w:rFonts w:ascii="仿宋" w:hAnsi="仿宋" w:eastAsia="仿宋"/>
          <w:bCs/>
          <w:spacing w:val="-4"/>
          <w:sz w:val="32"/>
          <w:szCs w:val="32"/>
        </w:rPr>
        <w:t>机关的人员经费和日常公用经费</w:t>
      </w:r>
      <w:r>
        <w:rPr>
          <w:rFonts w:hint="eastAsia" w:ascii="仿宋" w:hAnsi="仿宋" w:eastAsia="仿宋"/>
          <w:bCs/>
          <w:spacing w:val="-4"/>
          <w:sz w:val="32"/>
          <w:szCs w:val="32"/>
        </w:rPr>
        <w:t>。</w:t>
      </w:r>
      <w:r>
        <w:rPr>
          <w:rFonts w:ascii="仿宋" w:hAnsi="仿宋" w:eastAsia="仿宋"/>
          <w:bCs/>
          <w:spacing w:val="-4"/>
          <w:sz w:val="32"/>
          <w:szCs w:val="32"/>
        </w:rPr>
        <w:t>具体包括：工资福利支出、对个人和家庭的补助、商品和服务支出。基本支出的管理和使用情况如下：</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一、本年预算指标可用情况：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本年基本支出预算可用指标</w:t>
      </w:r>
      <w:r>
        <w:rPr>
          <w:rFonts w:hint="eastAsia" w:ascii="仿宋" w:hAnsi="仿宋" w:eastAsia="仿宋"/>
          <w:bCs/>
          <w:spacing w:val="-4"/>
          <w:sz w:val="32"/>
          <w:szCs w:val="32"/>
          <w:lang w:val="en-US" w:eastAsia="zh-CN"/>
        </w:rPr>
        <w:t>98.31</w:t>
      </w:r>
      <w:r>
        <w:rPr>
          <w:rFonts w:ascii="仿宋" w:hAnsi="仿宋" w:eastAsia="仿宋"/>
          <w:bCs/>
          <w:spacing w:val="-4"/>
          <w:sz w:val="32"/>
          <w:szCs w:val="32"/>
        </w:rPr>
        <w:t>万元</w:t>
      </w:r>
      <w:r>
        <w:rPr>
          <w:rFonts w:hint="eastAsia" w:ascii="仿宋" w:hAnsi="仿宋" w:eastAsia="仿宋"/>
          <w:bCs/>
          <w:spacing w:val="-4"/>
          <w:sz w:val="32"/>
          <w:szCs w:val="32"/>
        </w:rPr>
        <w:t>。</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二、本年基本支出预算执行情况：</w:t>
      </w:r>
    </w:p>
    <w:p>
      <w:pPr>
        <w:adjustRightInd w:val="0"/>
        <w:snapToGrid w:val="0"/>
        <w:spacing w:line="560" w:lineRule="exact"/>
        <w:ind w:firstLine="643" w:firstLineChars="200"/>
        <w:rPr>
          <w:rFonts w:ascii="仿宋" w:hAnsi="仿宋" w:eastAsia="仿宋"/>
          <w:bCs/>
          <w:spacing w:val="-4"/>
          <w:sz w:val="32"/>
          <w:szCs w:val="32"/>
        </w:rPr>
      </w:pPr>
      <w:r>
        <w:rPr>
          <w:rFonts w:hint="eastAsia"/>
          <w:b/>
          <w:bCs/>
          <w:sz w:val="32"/>
          <w:szCs w:val="32"/>
          <w:shd w:val="clear" w:color="auto" w:fill="FFFFFF"/>
        </w:rPr>
        <w:t xml:space="preserve">   </w:t>
      </w:r>
      <w:r>
        <w:rPr>
          <w:rFonts w:hint="eastAsia" w:ascii="仿宋" w:hAnsi="仿宋" w:eastAsia="仿宋"/>
          <w:bCs/>
          <w:spacing w:val="-4"/>
          <w:sz w:val="32"/>
          <w:szCs w:val="32"/>
        </w:rPr>
        <w:t>实际支出数</w:t>
      </w:r>
      <w:r>
        <w:rPr>
          <w:rFonts w:hint="eastAsia" w:ascii="仿宋" w:hAnsi="仿宋" w:eastAsia="仿宋"/>
          <w:bCs/>
          <w:spacing w:val="-4"/>
          <w:sz w:val="32"/>
          <w:szCs w:val="32"/>
          <w:lang w:val="en-US" w:eastAsia="zh-CN"/>
        </w:rPr>
        <w:t>98.31</w:t>
      </w:r>
      <w:r>
        <w:rPr>
          <w:rFonts w:hint="eastAsia" w:ascii="仿宋" w:hAnsi="仿宋" w:eastAsia="仿宋"/>
          <w:bCs/>
          <w:spacing w:val="-4"/>
          <w:sz w:val="32"/>
          <w:szCs w:val="32"/>
        </w:rPr>
        <w:t>万元。本年基本支出总数为</w:t>
      </w:r>
      <w:r>
        <w:rPr>
          <w:rFonts w:hint="eastAsia" w:ascii="仿宋" w:hAnsi="仿宋" w:eastAsia="仿宋"/>
          <w:bCs/>
          <w:spacing w:val="-4"/>
          <w:sz w:val="32"/>
          <w:szCs w:val="32"/>
          <w:lang w:val="en-US" w:eastAsia="zh-CN"/>
        </w:rPr>
        <w:t>98.31</w:t>
      </w:r>
      <w:r>
        <w:rPr>
          <w:rFonts w:ascii="仿宋" w:hAnsi="仿宋" w:eastAsia="仿宋"/>
          <w:bCs/>
          <w:spacing w:val="-4"/>
          <w:sz w:val="32"/>
          <w:szCs w:val="32"/>
        </w:rPr>
        <w:t>万元</w:t>
      </w:r>
      <w:r>
        <w:rPr>
          <w:rFonts w:hint="eastAsia" w:ascii="仿宋" w:hAnsi="仿宋" w:eastAsia="仿宋"/>
          <w:bCs/>
          <w:spacing w:val="-4"/>
          <w:sz w:val="32"/>
          <w:szCs w:val="32"/>
        </w:rPr>
        <w:t>，本年预算指标执行率为100% 。</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三、三公经费预算及指标执行情况：</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本单位基本支出资金符合《英吉沙县财政局乡财支付中心财务管理制度及办法》，包括会计人员集中核算工作管理制度、财务收支审批制度、财务稽核制度、财务牵制制度、会计主管岗位职责等制度规定，基本支出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ascii="黑体" w:hAnsi="黑体" w:eastAsia="黑体"/>
          <w:b w:val="0"/>
          <w:spacing w:val="-4"/>
          <w:sz w:val="32"/>
          <w:szCs w:val="32"/>
          <w:lang w:eastAsia="zh-CN"/>
        </w:rPr>
        <w:t>一般公共服务支出</w:t>
      </w:r>
      <w:r>
        <w:rPr>
          <w:rStyle w:val="18"/>
          <w:rFonts w:hint="eastAsia" w:ascii="黑体" w:hAnsi="黑体" w:eastAsia="黑体"/>
          <w:b w:val="0"/>
          <w:spacing w:val="-4"/>
          <w:sz w:val="32"/>
          <w:szCs w:val="32"/>
        </w:rPr>
        <w:t>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r>
        <w:rPr>
          <w:rStyle w:val="18"/>
          <w:rFonts w:hint="eastAsia" w:ascii="楷体" w:hAnsi="楷体" w:eastAsia="楷体"/>
          <w:spacing w:val="-4"/>
          <w:sz w:val="32"/>
          <w:szCs w:val="32"/>
          <w:lang w:eastAsia="zh-CN"/>
        </w:rPr>
        <w:t>一般公共服务</w:t>
      </w:r>
      <w:r>
        <w:rPr>
          <w:rStyle w:val="18"/>
          <w:rFonts w:hint="eastAsia" w:ascii="楷体" w:hAnsi="楷体" w:eastAsia="楷体"/>
          <w:spacing w:val="-4"/>
          <w:sz w:val="32"/>
          <w:szCs w:val="32"/>
        </w:rPr>
        <w:t>支出组织情况分析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我单位基本支出包含经常性零星消耗性办公用品购置性支出、办公设备（固定资产）购置支出以及涉农性农机具购置支出。经常性零星消耗品不属于招投标范围内，由本单位自行组织实施。实施过程均按照本单位制定的管理制度执行。办公设备或农机具购置需要经联系乡镇的县领导和分管县财经领导审批。超出三十万挂网招标，低于三十万我单位自行询价招标办理。为保证质量和成本控制，采购完成后，由相关验收小组人员进行质量验收，完成检查验收程序，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（二）部门基本支出管理情况分析</w:t>
      </w:r>
    </w:p>
    <w:p>
      <w:pPr>
        <w:shd w:val="clear" w:color="auto" w:fill="FFFFFF"/>
        <w:spacing w:line="580" w:lineRule="atLeast"/>
        <w:ind w:firstLine="640"/>
        <w:rPr>
          <w:rStyle w:val="18"/>
          <w:rFonts w:ascii="仿宋" w:hAnsi="仿宋" w:eastAsia="仿宋"/>
          <w:b w:val="0"/>
          <w:color w:val="FF0000"/>
          <w:spacing w:val="-4"/>
          <w:sz w:val="32"/>
          <w:szCs w:val="32"/>
        </w:rPr>
      </w:pPr>
      <w:r>
        <w:rPr>
          <w:rFonts w:hint="eastAsia" w:ascii="仿宋" w:hAnsi="仿宋" w:eastAsia="仿宋"/>
          <w:bCs/>
          <w:spacing w:val="-4"/>
          <w:sz w:val="32"/>
          <w:szCs w:val="32"/>
        </w:rPr>
        <w:t>本单位基本支出过程中，根据《基本预算支出管理办法》等严格遵守相关法律法规和业务管理规定，基本支出资料齐全并及时归档。县财政不定期对基本支出进度情况进行督导检查，对检查过程中发现的问题及时督促整改，确保基本支出有效、高质量的完成。</w:t>
      </w:r>
      <w:r>
        <w:rPr>
          <w:rFonts w:hint="eastAsia" w:ascii="仿宋" w:hAnsi="仿宋" w:eastAsia="仿宋" w:cs="宋体"/>
          <w:kern w:val="0"/>
          <w:sz w:val="32"/>
          <w:szCs w:val="32"/>
          <w:lang w:bidi="ug-CN"/>
        </w:rPr>
        <w:t>加强财务人员对各级财政预算资金管理方面制度的学习培训，</w:t>
      </w:r>
      <w:r>
        <w:rPr>
          <w:rFonts w:hint="eastAsia" w:ascii="仿宋" w:hAnsi="仿宋" w:eastAsia="仿宋" w:cs="宋体"/>
          <w:color w:val="222222"/>
          <w:kern w:val="0"/>
          <w:sz w:val="32"/>
          <w:szCs w:val="32"/>
          <w:lang w:bidi="ug-CN"/>
        </w:rPr>
        <w:t>不断提高各职能部门的业务工作能力。建立了机关整体支出管理方面的内控制度，并不断进行完善和修订。如：《</w:t>
      </w:r>
      <w:r>
        <w:rPr>
          <w:rFonts w:hint="eastAsia" w:ascii="仿宋" w:hAnsi="仿宋" w:eastAsia="仿宋" w:cs="宋体"/>
          <w:color w:val="222222"/>
          <w:kern w:val="0"/>
          <w:sz w:val="32"/>
          <w:szCs w:val="32"/>
          <w:lang w:eastAsia="zh-CN" w:bidi="ug-CN"/>
        </w:rPr>
        <w:t>芒辛</w:t>
      </w:r>
      <w:r>
        <w:rPr>
          <w:rFonts w:hint="eastAsia" w:ascii="仿宋" w:hAnsi="仿宋" w:eastAsia="仿宋" w:cs="宋体"/>
          <w:color w:val="222222"/>
          <w:kern w:val="0"/>
          <w:sz w:val="32"/>
          <w:szCs w:val="32"/>
          <w:lang w:bidi="ug-CN"/>
        </w:rPr>
        <w:t>乡公务外出和接待管理规定》、《</w:t>
      </w:r>
      <w:r>
        <w:rPr>
          <w:rFonts w:hint="eastAsia" w:ascii="仿宋" w:hAnsi="仿宋" w:eastAsia="仿宋" w:cs="宋体"/>
          <w:color w:val="222222"/>
          <w:kern w:val="0"/>
          <w:sz w:val="32"/>
          <w:szCs w:val="32"/>
          <w:lang w:eastAsia="zh-CN" w:bidi="ug-CN"/>
        </w:rPr>
        <w:t>芒辛</w:t>
      </w:r>
      <w:r>
        <w:rPr>
          <w:rFonts w:hint="eastAsia" w:ascii="仿宋" w:hAnsi="仿宋" w:eastAsia="仿宋" w:cs="宋体"/>
          <w:color w:val="222222"/>
          <w:kern w:val="0"/>
          <w:sz w:val="32"/>
          <w:szCs w:val="32"/>
          <w:lang w:bidi="ug-CN"/>
        </w:rPr>
        <w:t>乡公务用车管理办法》等办法，对招待费、公务用车等支出进行了有效管控。特别是“三公”经费的预算控制。加强对公务用车的管理，严格招待费用审核审批程序，“三公”经费较好地控制在预算范围之内。</w:t>
      </w:r>
    </w:p>
    <w:p>
      <w:pPr>
        <w:adjustRightInd w:val="0"/>
        <w:snapToGrid w:val="0"/>
        <w:spacing w:line="560" w:lineRule="exact"/>
        <w:ind w:firstLine="624" w:firstLineChars="200"/>
        <w:outlineLvl w:val="0"/>
        <w:rPr>
          <w:rStyle w:val="18"/>
          <w:rFonts w:ascii="黑体" w:hAnsi="黑体" w:eastAsia="黑体"/>
          <w:sz w:val="32"/>
          <w:szCs w:val="32"/>
        </w:rPr>
      </w:pPr>
      <w:r>
        <w:rPr>
          <w:rStyle w:val="18"/>
          <w:rFonts w:hint="eastAsia" w:ascii="黑体" w:hAnsi="黑体" w:eastAsia="黑体"/>
          <w:b w:val="0"/>
          <w:spacing w:val="-4"/>
          <w:sz w:val="32"/>
          <w:szCs w:val="32"/>
        </w:rPr>
        <w:t>四、</w:t>
      </w:r>
      <w:r>
        <w:rPr>
          <w:rStyle w:val="18"/>
          <w:rFonts w:hint="eastAsia" w:ascii="黑体" w:hAnsi="黑体" w:eastAsia="黑体"/>
          <w:b w:val="0"/>
          <w:spacing w:val="-4"/>
          <w:sz w:val="32"/>
          <w:szCs w:val="32"/>
          <w:lang w:eastAsia="zh-CN"/>
        </w:rPr>
        <w:t>一般公共服务支出</w:t>
      </w:r>
      <w:r>
        <w:rPr>
          <w:rStyle w:val="18"/>
          <w:rFonts w:hint="eastAsia" w:ascii="黑体" w:hAnsi="黑体" w:eastAsia="黑体"/>
          <w:b w:val="0"/>
          <w:spacing w:val="-4"/>
          <w:sz w:val="32"/>
          <w:szCs w:val="32"/>
        </w:rPr>
        <w:t>绩效情况</w:t>
      </w:r>
      <w:r>
        <w:rPr>
          <w:rStyle w:val="18"/>
          <w:rFonts w:hint="eastAsia" w:ascii="黑体" w:hAnsi="黑体" w:eastAsia="黑体"/>
          <w:sz w:val="32"/>
          <w:szCs w:val="32"/>
        </w:rPr>
        <w:t xml:space="preserve"> </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lang w:eastAsia="zh-CN"/>
        </w:rPr>
        <w:t>一般公共服务</w:t>
      </w:r>
      <w:r>
        <w:rPr>
          <w:rFonts w:hint="eastAsia" w:ascii="楷体" w:hAnsi="楷体" w:eastAsia="楷体"/>
          <w:b/>
          <w:spacing w:val="-4"/>
          <w:sz w:val="32"/>
          <w:szCs w:val="32"/>
        </w:rPr>
        <w:t>支出绩效目标完成情况分析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1、项目完成情况：</w:t>
      </w:r>
    </w:p>
    <w:p>
      <w:pPr>
        <w:adjustRightInd w:val="0"/>
        <w:snapToGrid w:val="0"/>
        <w:spacing w:line="560" w:lineRule="exact"/>
        <w:ind w:firstLine="640" w:firstLineChars="200"/>
        <w:rPr>
          <w:rStyle w:val="18"/>
          <w:rFonts w:ascii="仿宋" w:hAnsi="仿宋" w:eastAsia="仿宋"/>
          <w:b w:val="0"/>
          <w:spacing w:val="-4"/>
          <w:sz w:val="32"/>
          <w:szCs w:val="32"/>
        </w:rPr>
      </w:pP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预算安排的基本支出保障了我</w:t>
      </w:r>
      <w:r>
        <w:rPr>
          <w:rFonts w:hint="eastAsia" w:ascii="仿宋" w:hAnsi="仿宋" w:eastAsia="仿宋"/>
          <w:sz w:val="32"/>
          <w:szCs w:val="32"/>
        </w:rPr>
        <w:t>乡</w:t>
      </w:r>
      <w:r>
        <w:rPr>
          <w:rFonts w:ascii="仿宋" w:hAnsi="仿宋" w:eastAsia="仿宋"/>
          <w:sz w:val="32"/>
          <w:szCs w:val="32"/>
        </w:rPr>
        <w:t>工作的正常运转</w:t>
      </w:r>
      <w:r>
        <w:rPr>
          <w:rFonts w:hint="eastAsia" w:ascii="仿宋" w:hAnsi="仿宋" w:eastAsia="仿宋"/>
          <w:color w:val="222222"/>
          <w:sz w:val="32"/>
          <w:szCs w:val="32"/>
          <w:shd w:val="clear" w:color="auto" w:fill="FFFFFF"/>
        </w:rPr>
        <w:t>。</w:t>
      </w: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在资金的管理和使用上</w:t>
      </w:r>
      <w:r>
        <w:rPr>
          <w:rFonts w:hint="eastAsia" w:ascii="仿宋" w:hAnsi="仿宋" w:eastAsia="仿宋"/>
          <w:color w:val="222222"/>
          <w:sz w:val="32"/>
          <w:szCs w:val="32"/>
          <w:shd w:val="clear" w:color="auto" w:fill="FFFFFF"/>
        </w:rPr>
        <w:t>，</w:t>
      </w:r>
      <w:r>
        <w:rPr>
          <w:rFonts w:ascii="仿宋" w:hAnsi="仿宋" w:eastAsia="仿宋"/>
          <w:sz w:val="32"/>
          <w:szCs w:val="32"/>
        </w:rPr>
        <w:t>严守法律底线、纪律底线、道德底线</w:t>
      </w:r>
      <w:r>
        <w:rPr>
          <w:rStyle w:val="18"/>
          <w:rFonts w:hint="eastAsia" w:ascii="仿宋" w:hAnsi="仿宋" w:eastAsia="仿宋"/>
          <w:b w:val="0"/>
          <w:spacing w:val="-4"/>
          <w:sz w:val="32"/>
          <w:szCs w:val="32"/>
        </w:rPr>
        <w:t>。</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2、项目效益情况：</w:t>
      </w:r>
    </w:p>
    <w:p>
      <w:pPr>
        <w:adjustRightInd w:val="0"/>
        <w:snapToGrid w:val="0"/>
        <w:spacing w:line="560" w:lineRule="exact"/>
        <w:ind w:firstLine="640" w:firstLineChars="200"/>
        <w:rPr>
          <w:rStyle w:val="18"/>
          <w:rFonts w:ascii="仿宋" w:hAnsi="仿宋" w:eastAsia="仿宋"/>
          <w:b w:val="0"/>
          <w:spacing w:val="-4"/>
          <w:sz w:val="32"/>
          <w:szCs w:val="32"/>
        </w:rPr>
      </w:pP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在执行上是严格遵守各项财经纪律。我</w:t>
      </w:r>
      <w:r>
        <w:rPr>
          <w:rFonts w:hint="eastAsia" w:ascii="仿宋" w:hAnsi="仿宋" w:eastAsia="仿宋"/>
          <w:sz w:val="32"/>
          <w:szCs w:val="32"/>
        </w:rPr>
        <w:t>乡</w:t>
      </w:r>
      <w:r>
        <w:rPr>
          <w:rFonts w:ascii="仿宋" w:hAnsi="仿宋" w:eastAsia="仿宋"/>
          <w:sz w:val="32"/>
          <w:szCs w:val="32"/>
        </w:rPr>
        <w:t>在资金的管理和使用上</w:t>
      </w:r>
      <w:r>
        <w:rPr>
          <w:rFonts w:hint="eastAsia" w:ascii="仿宋" w:hAnsi="仿宋" w:eastAsia="仿宋"/>
          <w:color w:val="222222"/>
          <w:sz w:val="32"/>
          <w:szCs w:val="32"/>
          <w:shd w:val="clear" w:color="auto" w:fill="FFFFFF"/>
        </w:rPr>
        <w:t>，</w:t>
      </w:r>
      <w:r>
        <w:rPr>
          <w:rFonts w:ascii="仿宋" w:hAnsi="仿宋" w:eastAsia="仿宋"/>
          <w:sz w:val="32"/>
          <w:szCs w:val="32"/>
        </w:rPr>
        <w:t>严守法律底线、纪律底线、道德底线</w:t>
      </w:r>
      <w:r>
        <w:rPr>
          <w:rFonts w:hint="eastAsia" w:ascii="仿宋" w:hAnsi="仿宋" w:eastAsia="仿宋"/>
          <w:sz w:val="32"/>
          <w:szCs w:val="32"/>
        </w:rPr>
        <w:t>.服务能力提高,服务方式更简洁更具体更具有民性。</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3、满意度情况：</w:t>
      </w:r>
    </w:p>
    <w:p>
      <w:pPr>
        <w:adjustRightInd w:val="0"/>
        <w:snapToGrid w:val="0"/>
        <w:spacing w:line="560" w:lineRule="exact"/>
        <w:ind w:firstLine="640" w:firstLineChars="200"/>
        <w:outlineLvl w:val="0"/>
        <w:rPr>
          <w:rFonts w:ascii="仿宋" w:hAnsi="仿宋" w:eastAsia="仿宋"/>
          <w:sz w:val="32"/>
          <w:szCs w:val="32"/>
        </w:rPr>
      </w:pPr>
      <w:r>
        <w:rPr>
          <w:rFonts w:hint="eastAsia" w:ascii="仿宋" w:hAnsi="仿宋" w:eastAsia="仿宋"/>
          <w:sz w:val="32"/>
          <w:szCs w:val="32"/>
        </w:rPr>
        <w:t>2018</w:t>
      </w:r>
      <w:r>
        <w:rPr>
          <w:rFonts w:ascii="仿宋" w:hAnsi="仿宋" w:eastAsia="仿宋"/>
          <w:sz w:val="32"/>
          <w:szCs w:val="32"/>
        </w:rPr>
        <w:t>年</w:t>
      </w:r>
      <w:r>
        <w:rPr>
          <w:rFonts w:hint="eastAsia" w:ascii="仿宋" w:hAnsi="仿宋" w:eastAsia="仿宋"/>
          <w:color w:val="222222"/>
          <w:sz w:val="32"/>
          <w:szCs w:val="32"/>
          <w:shd w:val="clear" w:color="auto" w:fill="FFFFFF"/>
        </w:rPr>
        <w:t>，</w:t>
      </w:r>
      <w:r>
        <w:rPr>
          <w:rFonts w:ascii="仿宋" w:hAnsi="仿宋" w:eastAsia="仿宋"/>
          <w:sz w:val="32"/>
          <w:szCs w:val="32"/>
        </w:rPr>
        <w:t>全</w:t>
      </w:r>
      <w:r>
        <w:rPr>
          <w:rFonts w:hint="eastAsia" w:ascii="仿宋" w:hAnsi="仿宋" w:eastAsia="仿宋"/>
          <w:sz w:val="32"/>
          <w:szCs w:val="32"/>
        </w:rPr>
        <w:t>乡</w:t>
      </w:r>
      <w:r>
        <w:rPr>
          <w:rFonts w:ascii="仿宋" w:hAnsi="仿宋" w:eastAsia="仿宋"/>
          <w:sz w:val="32"/>
          <w:szCs w:val="32"/>
        </w:rPr>
        <w:t>干部职工在</w:t>
      </w:r>
      <w:r>
        <w:rPr>
          <w:rFonts w:hint="eastAsia" w:ascii="仿宋" w:hAnsi="仿宋" w:eastAsia="仿宋"/>
          <w:sz w:val="32"/>
          <w:szCs w:val="32"/>
        </w:rPr>
        <w:t>乡</w:t>
      </w:r>
      <w:r>
        <w:rPr>
          <w:rFonts w:ascii="仿宋" w:hAnsi="仿宋" w:eastAsia="仿宋"/>
          <w:sz w:val="32"/>
          <w:szCs w:val="32"/>
        </w:rPr>
        <w:t>党委和政府的正确领导下，</w:t>
      </w:r>
      <w:r>
        <w:rPr>
          <w:rFonts w:hint="eastAsia" w:ascii="仿宋" w:hAnsi="仿宋" w:eastAsia="仿宋"/>
          <w:sz w:val="32"/>
          <w:szCs w:val="32"/>
        </w:rPr>
        <w:t>聚焦总目标，</w:t>
      </w:r>
      <w:r>
        <w:rPr>
          <w:rFonts w:ascii="仿宋" w:hAnsi="仿宋" w:eastAsia="仿宋"/>
          <w:sz w:val="32"/>
          <w:szCs w:val="32"/>
        </w:rPr>
        <w:t>认真</w:t>
      </w:r>
      <w:r>
        <w:rPr>
          <w:rFonts w:hint="eastAsia" w:ascii="仿宋" w:hAnsi="仿宋" w:eastAsia="仿宋"/>
          <w:sz w:val="32"/>
          <w:szCs w:val="32"/>
        </w:rPr>
        <w:t>遵循习近平新时代中国特色社会主义理论</w:t>
      </w:r>
      <w:r>
        <w:rPr>
          <w:rFonts w:hint="eastAsia" w:ascii="仿宋" w:hAnsi="仿宋" w:eastAsia="仿宋"/>
          <w:color w:val="222222"/>
          <w:sz w:val="32"/>
          <w:szCs w:val="32"/>
          <w:shd w:val="clear" w:color="auto" w:fill="FFFFFF"/>
        </w:rPr>
        <w:t>，贯彻落实自治区党委、地委、县委会议精神。</w:t>
      </w:r>
      <w:r>
        <w:rPr>
          <w:rFonts w:ascii="仿宋" w:hAnsi="仿宋" w:eastAsia="仿宋"/>
          <w:sz w:val="32"/>
          <w:szCs w:val="32"/>
        </w:rPr>
        <w:t>勤奋工作，创先争优。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w:t>
      </w:r>
      <w:r>
        <w:rPr>
          <w:rFonts w:hint="eastAsia" w:ascii="楷体" w:hAnsi="楷体" w:eastAsia="楷体"/>
          <w:b/>
          <w:spacing w:val="-4"/>
          <w:sz w:val="32"/>
          <w:szCs w:val="32"/>
          <w:lang w:eastAsia="zh-CN"/>
        </w:rPr>
        <w:t>一般公共服务支出</w:t>
      </w:r>
      <w:r>
        <w:rPr>
          <w:rFonts w:hint="eastAsia" w:ascii="楷体" w:hAnsi="楷体" w:eastAsia="楷体"/>
          <w:b/>
          <w:spacing w:val="-4"/>
          <w:sz w:val="32"/>
          <w:szCs w:val="32"/>
        </w:rPr>
        <w:t>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不存在未完成情况，2018年本单位基本支出绩效目标全部达成，不存在未完成原因分析。”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继续紧跟党的步伐，认真落实县委、政府安排的每一项任务。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1120" w:firstLineChars="350"/>
        <w:rPr>
          <w:rFonts w:ascii="仿宋" w:hAnsi="仿宋" w:eastAsia="仿宋"/>
          <w:bCs/>
          <w:spacing w:val="-4"/>
          <w:sz w:val="32"/>
          <w:szCs w:val="32"/>
        </w:rPr>
      </w:pPr>
      <w:r>
        <w:rPr>
          <w:rFonts w:hint="eastAsia" w:ascii="仿宋" w:hAnsi="仿宋" w:eastAsia="仿宋" w:cs="宋体"/>
          <w:color w:val="222222"/>
          <w:kern w:val="0"/>
          <w:sz w:val="32"/>
          <w:szCs w:val="32"/>
          <w:lang w:bidi="ug-CN"/>
        </w:rPr>
        <w:t>细化预算编制工作，认真做好预算的编制。进一步加强乡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推行内部各处室预算“二上二下”方式，提高预算的合理性和准确性。2. 加强财务管理，严格财务审核。在费用报账支付时，按照预算规定的费用项目和用途进行资金使用审核、列报支付、财务核算，杜绝超支现象的发生。3．持续抓好“三公”经费控制管理。严格控制“三公”经费的规模和比例，把关“三公”经费支出的审核、审批，杜绝挪用和挤占其他预算资金行为；进一步细化“三公”经费的管理，合理压缩“三公”经费支出。4．加强项目开展进度的跟踪，开展项目绩效评价，确保项目绩效目标的完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六、基本支出评价工作情况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龙甫乡政府基本支出的使用效率和效果，基本支出管理过程是否规范，是否完成了预期绩效目标等。同时，通过开展自我评价来总结经验和教训，为顺利持续实施</w:t>
      </w:r>
      <w:r>
        <w:rPr>
          <w:rFonts w:hint="eastAsia" w:ascii="仿宋" w:hAnsi="仿宋" w:eastAsia="仿宋"/>
          <w:spacing w:val="-4"/>
          <w:sz w:val="32"/>
          <w:szCs w:val="32"/>
          <w:lang w:eastAsia="zh-CN"/>
        </w:rPr>
        <w:t>芒辛</w:t>
      </w:r>
      <w:r>
        <w:rPr>
          <w:rFonts w:hint="eastAsia" w:ascii="仿宋" w:hAnsi="仿宋" w:eastAsia="仿宋"/>
          <w:spacing w:val="-4"/>
          <w:sz w:val="32"/>
          <w:szCs w:val="32"/>
        </w:rPr>
        <w:t>乡政府基本支出的工作奠定基础。</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《部门预算基本支出绩效目标自评表》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5252"/>
    <w:rsid w:val="0002134C"/>
    <w:rsid w:val="000579E7"/>
    <w:rsid w:val="00073101"/>
    <w:rsid w:val="00075EC2"/>
    <w:rsid w:val="000B6B25"/>
    <w:rsid w:val="000D09F1"/>
    <w:rsid w:val="000E6015"/>
    <w:rsid w:val="0012208E"/>
    <w:rsid w:val="00135256"/>
    <w:rsid w:val="00137734"/>
    <w:rsid w:val="00140E6F"/>
    <w:rsid w:val="001A4E1F"/>
    <w:rsid w:val="001A57B9"/>
    <w:rsid w:val="001C3847"/>
    <w:rsid w:val="001F3031"/>
    <w:rsid w:val="00210A26"/>
    <w:rsid w:val="002312C7"/>
    <w:rsid w:val="00273C06"/>
    <w:rsid w:val="002A2532"/>
    <w:rsid w:val="002D3E2E"/>
    <w:rsid w:val="002D7B21"/>
    <w:rsid w:val="0030459A"/>
    <w:rsid w:val="00305DAD"/>
    <w:rsid w:val="003273B2"/>
    <w:rsid w:val="00360974"/>
    <w:rsid w:val="00364896"/>
    <w:rsid w:val="00365250"/>
    <w:rsid w:val="0036624C"/>
    <w:rsid w:val="00385849"/>
    <w:rsid w:val="0040560F"/>
    <w:rsid w:val="004404DE"/>
    <w:rsid w:val="00494A21"/>
    <w:rsid w:val="004C3C62"/>
    <w:rsid w:val="0050167F"/>
    <w:rsid w:val="00514506"/>
    <w:rsid w:val="005162F1"/>
    <w:rsid w:val="005233C5"/>
    <w:rsid w:val="00535153"/>
    <w:rsid w:val="005654DA"/>
    <w:rsid w:val="00575CFE"/>
    <w:rsid w:val="00592D09"/>
    <w:rsid w:val="005F024A"/>
    <w:rsid w:val="00650889"/>
    <w:rsid w:val="00675D58"/>
    <w:rsid w:val="00680E5C"/>
    <w:rsid w:val="006A112C"/>
    <w:rsid w:val="006B2CD3"/>
    <w:rsid w:val="006E276E"/>
    <w:rsid w:val="006F2E6D"/>
    <w:rsid w:val="007067A6"/>
    <w:rsid w:val="007218B8"/>
    <w:rsid w:val="00783138"/>
    <w:rsid w:val="00785FDE"/>
    <w:rsid w:val="007A0351"/>
    <w:rsid w:val="007A14BC"/>
    <w:rsid w:val="007C1025"/>
    <w:rsid w:val="007D32B9"/>
    <w:rsid w:val="007E6845"/>
    <w:rsid w:val="007F5F8A"/>
    <w:rsid w:val="00826CA1"/>
    <w:rsid w:val="00835B7F"/>
    <w:rsid w:val="00855E3A"/>
    <w:rsid w:val="00890320"/>
    <w:rsid w:val="00893D5E"/>
    <w:rsid w:val="00906A2B"/>
    <w:rsid w:val="00922CB9"/>
    <w:rsid w:val="00957DAA"/>
    <w:rsid w:val="009B526F"/>
    <w:rsid w:val="009C1AFD"/>
    <w:rsid w:val="009C752D"/>
    <w:rsid w:val="00A13C76"/>
    <w:rsid w:val="00A25EB4"/>
    <w:rsid w:val="00A26421"/>
    <w:rsid w:val="00A36E25"/>
    <w:rsid w:val="00A4293B"/>
    <w:rsid w:val="00A83BD5"/>
    <w:rsid w:val="00AB74C5"/>
    <w:rsid w:val="00B06CA5"/>
    <w:rsid w:val="00B1195E"/>
    <w:rsid w:val="00B41F61"/>
    <w:rsid w:val="00B55332"/>
    <w:rsid w:val="00B86E8C"/>
    <w:rsid w:val="00B87C25"/>
    <w:rsid w:val="00BE1A00"/>
    <w:rsid w:val="00BE2120"/>
    <w:rsid w:val="00BF704A"/>
    <w:rsid w:val="00C13BF9"/>
    <w:rsid w:val="00C22CF0"/>
    <w:rsid w:val="00C56C72"/>
    <w:rsid w:val="00CA6457"/>
    <w:rsid w:val="00CB51CA"/>
    <w:rsid w:val="00CC6E4D"/>
    <w:rsid w:val="00D17F2E"/>
    <w:rsid w:val="00D266B7"/>
    <w:rsid w:val="00D46194"/>
    <w:rsid w:val="00DE1AA9"/>
    <w:rsid w:val="00E01293"/>
    <w:rsid w:val="00E31B50"/>
    <w:rsid w:val="00E40C8F"/>
    <w:rsid w:val="00E769FE"/>
    <w:rsid w:val="00E96DC4"/>
    <w:rsid w:val="00EA2CBE"/>
    <w:rsid w:val="00EB190B"/>
    <w:rsid w:val="00EB3DCE"/>
    <w:rsid w:val="00EB5232"/>
    <w:rsid w:val="00F00C89"/>
    <w:rsid w:val="00F32FEE"/>
    <w:rsid w:val="00F53421"/>
    <w:rsid w:val="00F66959"/>
    <w:rsid w:val="00FE1136"/>
    <w:rsid w:val="056D3A9F"/>
    <w:rsid w:val="09172167"/>
    <w:rsid w:val="48F127CC"/>
    <w:rsid w:val="50E93A1F"/>
    <w:rsid w:val="668A04A8"/>
    <w:rsid w:val="6876046E"/>
    <w:rsid w:val="69025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F53EF-27CF-416E-82E6-4EC3554F98C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514</Words>
  <Characters>2930</Characters>
  <Lines>24</Lines>
  <Paragraphs>6</Paragraphs>
  <TotalTime>1</TotalTime>
  <ScaleCrop>false</ScaleCrop>
  <LinksUpToDate>false</LinksUpToDate>
  <CharactersWithSpaces>3438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2019-01-30T05:39:00Z</dcterms:created>
  <dc:creator>赵 恺（预算处）</dc:creator>
  <cp:lastModifiedBy>Administrator</cp:lastModifiedBy>
  <cp:lastPrinted>2019-01-30T03:30:00Z</cp:lastPrinted>
  <dcterms:modified xsi:type="dcterms:W3CDTF">2019-09-20T03:22:44Z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